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4E" w:rsidRDefault="007B5256">
      <w:r>
        <w:t xml:space="preserve"> </w:t>
      </w:r>
    </w:p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7B5256" w:rsidTr="007B5256">
        <w:trPr>
          <w:trHeight w:val="1701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5256" w:rsidRDefault="007B5256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REPUBLICA MOLDOVA</w:t>
            </w:r>
          </w:p>
          <w:p w:rsidR="007B5256" w:rsidRDefault="007B5256">
            <w:pPr>
              <w:tabs>
                <w:tab w:val="center" w:pos="314"/>
              </w:tabs>
              <w:ind w:left="-567"/>
              <w:rPr>
                <w:sz w:val="24"/>
              </w:rPr>
            </w:pPr>
            <w:r>
              <w:rPr>
                <w:sz w:val="24"/>
              </w:rPr>
              <w:t xml:space="preserve">               RAIONUL ORHEI</w:t>
            </w:r>
          </w:p>
          <w:p w:rsidR="007B5256" w:rsidRDefault="007B5256">
            <w:pPr>
              <w:tabs>
                <w:tab w:val="center" w:pos="455"/>
                <w:tab w:val="center" w:pos="597"/>
              </w:tabs>
              <w:ind w:left="-5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CONSILIUL  LOCAL</w:t>
            </w:r>
          </w:p>
          <w:p w:rsidR="007B5256" w:rsidRDefault="007B5256">
            <w:pPr>
              <w:tabs>
                <w:tab w:val="center" w:pos="455"/>
                <w:tab w:val="center" w:pos="597"/>
              </w:tabs>
              <w:ind w:left="-5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eleșeu            TELEȘEU</w:t>
            </w:r>
          </w:p>
          <w:p w:rsidR="007B5256" w:rsidRDefault="007B5256">
            <w:pPr>
              <w:spacing w:line="276" w:lineRule="auto"/>
              <w:ind w:left="-567"/>
              <w:jc w:val="center"/>
              <w:rPr>
                <w:b/>
                <w:i/>
                <w:sz w:val="24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B5256" w:rsidRDefault="007B5256">
            <w:pPr>
              <w:spacing w:line="276" w:lineRule="auto"/>
              <w:ind w:left="-567"/>
              <w:jc w:val="center"/>
              <w:rPr>
                <w:sz w:val="24"/>
                <w:lang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B5256" w:rsidRDefault="007B5256">
            <w:pPr>
              <w:ind w:left="-567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РЕСПУБЛИКА МОЛДОВА</w:t>
            </w:r>
          </w:p>
          <w:p w:rsidR="007B5256" w:rsidRDefault="007B5256">
            <w:pPr>
              <w:ind w:left="-5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ОРХЕЙСКИЙ РАЙОН</w:t>
            </w:r>
          </w:p>
          <w:p w:rsidR="007B5256" w:rsidRDefault="007B5256">
            <w:pPr>
              <w:ind w:lef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СЕЛЬСКИЙ СОВЕТ </w:t>
            </w:r>
          </w:p>
          <w:p w:rsidR="007B5256" w:rsidRDefault="007B5256">
            <w:pPr>
              <w:ind w:left="-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TEЛEШЕУ</w:t>
            </w:r>
          </w:p>
          <w:p w:rsidR="007B5256" w:rsidRDefault="007B5256">
            <w:pPr>
              <w:spacing w:line="276" w:lineRule="auto"/>
              <w:ind w:left="-567"/>
              <w:jc w:val="center"/>
              <w:rPr>
                <w:i/>
                <w:sz w:val="24"/>
                <w:lang w:val="en-US" w:eastAsia="en-US"/>
              </w:rPr>
            </w:pPr>
          </w:p>
        </w:tc>
      </w:tr>
    </w:tbl>
    <w:p w:rsidR="007B5256" w:rsidRPr="00C511E4" w:rsidRDefault="007B5256" w:rsidP="007B5256">
      <w:pPr>
        <w:jc w:val="center"/>
        <w:rPr>
          <w:b/>
          <w:sz w:val="28"/>
          <w:szCs w:val="28"/>
        </w:rPr>
      </w:pPr>
      <w:r w:rsidRPr="00C511E4">
        <w:rPr>
          <w:b/>
          <w:sz w:val="28"/>
          <w:szCs w:val="28"/>
        </w:rPr>
        <w:t>MD 3550, s</w:t>
      </w:r>
      <w:r w:rsidR="00C511E4">
        <w:rPr>
          <w:b/>
          <w:sz w:val="28"/>
          <w:szCs w:val="28"/>
        </w:rPr>
        <w:t xml:space="preserve">atul </w:t>
      </w:r>
      <w:r w:rsidRPr="00C511E4">
        <w:rPr>
          <w:b/>
          <w:sz w:val="28"/>
          <w:szCs w:val="28"/>
        </w:rPr>
        <w:t>Teleșeu, raionul Orhei, c/f 1007601006427,</w:t>
      </w:r>
    </w:p>
    <w:p w:rsidR="007B5256" w:rsidRPr="00C511E4" w:rsidRDefault="007B5256" w:rsidP="007B5256">
      <w:pPr>
        <w:jc w:val="center"/>
        <w:rPr>
          <w:sz w:val="28"/>
          <w:szCs w:val="28"/>
        </w:rPr>
      </w:pPr>
      <w:r w:rsidRPr="00C511E4">
        <w:rPr>
          <w:sz w:val="28"/>
          <w:szCs w:val="28"/>
        </w:rPr>
        <w:t xml:space="preserve"> e-mail: </w:t>
      </w:r>
      <w:r w:rsidR="00C511E4">
        <w:rPr>
          <w:sz w:val="28"/>
          <w:szCs w:val="28"/>
        </w:rPr>
        <w:fldChar w:fldCharType="begin"/>
      </w:r>
      <w:r w:rsidR="00C511E4">
        <w:rPr>
          <w:sz w:val="28"/>
          <w:szCs w:val="28"/>
        </w:rPr>
        <w:instrText xml:space="preserve"> HYPERLINK "mailto:</w:instrText>
      </w:r>
      <w:r w:rsidR="00C511E4" w:rsidRPr="00C511E4">
        <w:rPr>
          <w:sz w:val="28"/>
          <w:szCs w:val="28"/>
        </w:rPr>
        <w:instrText>primaria.teleseu@apl.gov.md</w:instrText>
      </w:r>
      <w:r w:rsidR="00C511E4">
        <w:rPr>
          <w:sz w:val="28"/>
          <w:szCs w:val="28"/>
        </w:rPr>
        <w:instrText xml:space="preserve">" </w:instrText>
      </w:r>
      <w:r w:rsidR="00C511E4">
        <w:rPr>
          <w:sz w:val="28"/>
          <w:szCs w:val="28"/>
        </w:rPr>
        <w:fldChar w:fldCharType="separate"/>
      </w:r>
      <w:r w:rsidR="00C511E4" w:rsidRPr="002242A6">
        <w:rPr>
          <w:rStyle w:val="a3"/>
          <w:sz w:val="28"/>
          <w:szCs w:val="28"/>
        </w:rPr>
        <w:t>primaria.teleseu@apl.gov.md</w:t>
      </w:r>
      <w:r w:rsidR="00C511E4">
        <w:rPr>
          <w:sz w:val="28"/>
          <w:szCs w:val="28"/>
        </w:rPr>
        <w:fldChar w:fldCharType="end"/>
      </w:r>
      <w:r w:rsidR="00C511E4">
        <w:rPr>
          <w:rStyle w:val="a3"/>
          <w:sz w:val="28"/>
          <w:szCs w:val="28"/>
        </w:rPr>
        <w:t xml:space="preserve"> , </w:t>
      </w:r>
      <w:r w:rsidRPr="00C511E4">
        <w:rPr>
          <w:sz w:val="28"/>
          <w:szCs w:val="28"/>
        </w:rPr>
        <w:t xml:space="preserve"> tel</w:t>
      </w:r>
      <w:r w:rsidR="00C511E4">
        <w:rPr>
          <w:sz w:val="28"/>
          <w:szCs w:val="28"/>
        </w:rPr>
        <w:t>. 0</w:t>
      </w:r>
      <w:r w:rsidRPr="00C511E4">
        <w:rPr>
          <w:sz w:val="28"/>
          <w:szCs w:val="28"/>
        </w:rPr>
        <w:t xml:space="preserve"> </w:t>
      </w:r>
      <w:r w:rsidR="00C511E4">
        <w:rPr>
          <w:sz w:val="28"/>
          <w:szCs w:val="28"/>
        </w:rPr>
        <w:t>235</w:t>
      </w:r>
      <w:r w:rsidRPr="00C511E4">
        <w:rPr>
          <w:sz w:val="28"/>
          <w:szCs w:val="28"/>
        </w:rPr>
        <w:t xml:space="preserve"> 54 2 36</w:t>
      </w:r>
      <w:r w:rsidR="00C511E4">
        <w:rPr>
          <w:sz w:val="28"/>
          <w:szCs w:val="28"/>
        </w:rPr>
        <w:t>/38</w:t>
      </w:r>
    </w:p>
    <w:p w:rsidR="007B5256" w:rsidRPr="00C511E4" w:rsidRDefault="007B5256" w:rsidP="007B5256">
      <w:pPr>
        <w:tabs>
          <w:tab w:val="left" w:pos="4110"/>
        </w:tabs>
        <w:jc w:val="right"/>
        <w:rPr>
          <w:rFonts w:eastAsia="Calibri"/>
          <w:b/>
          <w:color w:val="000000"/>
          <w:sz w:val="28"/>
          <w:szCs w:val="28"/>
          <w:u w:val="single"/>
          <w:lang w:eastAsia="en-US"/>
        </w:rPr>
      </w:pPr>
      <w:r w:rsidRPr="00C511E4">
        <w:rPr>
          <w:b/>
          <w:color w:val="000000"/>
          <w:sz w:val="28"/>
          <w:szCs w:val="28"/>
          <w:u w:val="single"/>
        </w:rPr>
        <w:t>Proiect</w:t>
      </w:r>
    </w:p>
    <w:p w:rsidR="007B5256" w:rsidRPr="00C511E4" w:rsidRDefault="00C511E4" w:rsidP="007B5256">
      <w:pPr>
        <w:tabs>
          <w:tab w:val="left" w:pos="41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 august</w:t>
      </w:r>
      <w:r w:rsidR="007B5256" w:rsidRPr="00C511E4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4</w:t>
      </w:r>
      <w:r w:rsidR="007B5256" w:rsidRPr="00C511E4">
        <w:rPr>
          <w:color w:val="000000"/>
          <w:sz w:val="28"/>
          <w:szCs w:val="28"/>
        </w:rPr>
        <w:t xml:space="preserve">                                                               satul Teleșeu, raionul Orhei</w:t>
      </w:r>
      <w:r w:rsidR="00B636E3">
        <w:rPr>
          <w:color w:val="000000"/>
          <w:sz w:val="28"/>
          <w:szCs w:val="28"/>
        </w:rPr>
        <w:t>,</w:t>
      </w:r>
    </w:p>
    <w:p w:rsidR="00C511E4" w:rsidRDefault="00C511E4" w:rsidP="007B5256">
      <w:pPr>
        <w:tabs>
          <w:tab w:val="left" w:pos="4110"/>
        </w:tabs>
        <w:jc w:val="center"/>
        <w:rPr>
          <w:b/>
          <w:color w:val="000000"/>
          <w:sz w:val="28"/>
          <w:szCs w:val="28"/>
        </w:rPr>
      </w:pPr>
    </w:p>
    <w:p w:rsidR="007B5256" w:rsidRPr="00C511E4" w:rsidRDefault="007B5256" w:rsidP="007B5256">
      <w:pPr>
        <w:tabs>
          <w:tab w:val="left" w:pos="4110"/>
        </w:tabs>
        <w:jc w:val="center"/>
        <w:rPr>
          <w:b/>
          <w:color w:val="000000"/>
          <w:sz w:val="28"/>
          <w:szCs w:val="28"/>
        </w:rPr>
      </w:pPr>
      <w:r w:rsidRPr="00C511E4">
        <w:rPr>
          <w:b/>
          <w:color w:val="000000"/>
          <w:sz w:val="28"/>
          <w:szCs w:val="28"/>
        </w:rPr>
        <w:t>DECIZIA nr.</w:t>
      </w:r>
      <w:r w:rsidR="00C511E4">
        <w:rPr>
          <w:b/>
          <w:color w:val="000000"/>
          <w:sz w:val="28"/>
          <w:szCs w:val="28"/>
        </w:rPr>
        <w:t>4</w:t>
      </w:r>
      <w:r w:rsidRPr="00C511E4">
        <w:rPr>
          <w:b/>
          <w:color w:val="000000"/>
          <w:sz w:val="28"/>
          <w:szCs w:val="28"/>
        </w:rPr>
        <w:t>.1</w:t>
      </w:r>
    </w:p>
    <w:p w:rsidR="007B5256" w:rsidRPr="00C511E4" w:rsidRDefault="007B5256" w:rsidP="007B5256">
      <w:pPr>
        <w:jc w:val="both"/>
        <w:rPr>
          <w:bCs/>
          <w:sz w:val="28"/>
          <w:szCs w:val="28"/>
          <w:lang w:val="fr-FR"/>
        </w:rPr>
      </w:pPr>
      <w:r w:rsidRPr="00C511E4">
        <w:rPr>
          <w:color w:val="000000"/>
          <w:sz w:val="28"/>
          <w:szCs w:val="28"/>
        </w:rPr>
        <w:t xml:space="preserve"> </w:t>
      </w:r>
    </w:p>
    <w:p w:rsidR="007B5256" w:rsidRPr="00C511E4" w:rsidRDefault="007B5256" w:rsidP="007B5256">
      <w:pPr>
        <w:jc w:val="both"/>
        <w:rPr>
          <w:i/>
          <w:sz w:val="28"/>
          <w:szCs w:val="28"/>
          <w:lang w:val="en-US"/>
        </w:rPr>
      </w:pPr>
      <w:r w:rsidRPr="00C511E4">
        <w:rPr>
          <w:i/>
          <w:sz w:val="28"/>
          <w:szCs w:val="28"/>
        </w:rPr>
        <w:t xml:space="preserve">Cu privire la audierea raportului semianual </w:t>
      </w:r>
    </w:p>
    <w:p w:rsidR="007B5256" w:rsidRPr="00C511E4" w:rsidRDefault="007B5256" w:rsidP="007B5256">
      <w:pPr>
        <w:jc w:val="both"/>
        <w:rPr>
          <w:i/>
          <w:sz w:val="28"/>
          <w:szCs w:val="28"/>
        </w:rPr>
      </w:pPr>
      <w:r w:rsidRPr="00C511E4">
        <w:rPr>
          <w:i/>
          <w:sz w:val="28"/>
          <w:szCs w:val="28"/>
        </w:rPr>
        <w:t>pentru anul 202</w:t>
      </w:r>
      <w:r w:rsidR="00C511E4">
        <w:rPr>
          <w:i/>
          <w:sz w:val="28"/>
          <w:szCs w:val="28"/>
        </w:rPr>
        <w:t>4</w:t>
      </w:r>
      <w:r w:rsidRPr="00C511E4">
        <w:rPr>
          <w:i/>
          <w:sz w:val="28"/>
          <w:szCs w:val="28"/>
        </w:rPr>
        <w:t xml:space="preserve"> privind executarea bugetului</w:t>
      </w:r>
    </w:p>
    <w:p w:rsidR="007B5256" w:rsidRPr="00C511E4" w:rsidRDefault="007B5256" w:rsidP="007B5256">
      <w:pPr>
        <w:jc w:val="both"/>
        <w:rPr>
          <w:i/>
          <w:sz w:val="28"/>
          <w:szCs w:val="28"/>
        </w:rPr>
      </w:pPr>
      <w:r w:rsidRPr="00C511E4">
        <w:rPr>
          <w:i/>
          <w:sz w:val="28"/>
          <w:szCs w:val="28"/>
        </w:rPr>
        <w:t>local</w:t>
      </w:r>
    </w:p>
    <w:p w:rsidR="007B5256" w:rsidRPr="00C511E4" w:rsidRDefault="007B5256" w:rsidP="007B5256">
      <w:pPr>
        <w:ind w:right="715"/>
        <w:jc w:val="both"/>
        <w:rPr>
          <w:sz w:val="28"/>
          <w:szCs w:val="28"/>
        </w:rPr>
      </w:pPr>
    </w:p>
    <w:p w:rsidR="007B5256" w:rsidRPr="00C511E4" w:rsidRDefault="007B5256" w:rsidP="007B5256">
      <w:pPr>
        <w:ind w:right="715"/>
        <w:jc w:val="both"/>
        <w:rPr>
          <w:sz w:val="28"/>
          <w:szCs w:val="28"/>
        </w:rPr>
      </w:pPr>
      <w:r w:rsidRPr="00C511E4">
        <w:rPr>
          <w:sz w:val="28"/>
          <w:szCs w:val="28"/>
        </w:rPr>
        <w:t xml:space="preserve">            În temeiul prevederilor art.14 alin.(2) lit.n</w:t>
      </w:r>
      <w:r w:rsidRPr="00C511E4">
        <w:rPr>
          <w:sz w:val="28"/>
          <w:szCs w:val="28"/>
          <w:vertAlign w:val="superscript"/>
        </w:rPr>
        <w:t>3</w:t>
      </w:r>
      <w:r w:rsidRPr="00C511E4">
        <w:rPr>
          <w:sz w:val="28"/>
          <w:szCs w:val="28"/>
        </w:rPr>
        <w:t>) din Legea nr.436/28.12.2006 privind administraţia publică locală, art.31 alin.2), art.32 lit.f) din Legea nr.397/16.10.2003 privind finanţele publice</w:t>
      </w:r>
      <w:r w:rsidR="00C511E4">
        <w:rPr>
          <w:sz w:val="28"/>
          <w:szCs w:val="28"/>
        </w:rPr>
        <w:t xml:space="preserve"> locale, art.24 alin.(1) lit.e), </w:t>
      </w:r>
      <w:r w:rsidRPr="00C511E4">
        <w:rPr>
          <w:sz w:val="28"/>
          <w:szCs w:val="28"/>
        </w:rPr>
        <w:t>art.72 alin.(2) din  Legea nr.181/25.07.2014 finantelor publice si responsabilitatii bugetar-fiscale, art.118 -126 din Codul Administrativ nr.116/19.07.2018, luînd în considerație avizul favorabil al Comisiei de specialitate, Consiliul local Teleseu,</w:t>
      </w:r>
    </w:p>
    <w:p w:rsidR="00B636E3" w:rsidRDefault="00B636E3" w:rsidP="007B5256">
      <w:pPr>
        <w:ind w:right="715"/>
        <w:jc w:val="center"/>
        <w:rPr>
          <w:b/>
          <w:sz w:val="28"/>
          <w:szCs w:val="28"/>
        </w:rPr>
      </w:pPr>
    </w:p>
    <w:p w:rsidR="007B5256" w:rsidRDefault="007B5256" w:rsidP="007B5256">
      <w:pPr>
        <w:ind w:right="715"/>
        <w:jc w:val="center"/>
        <w:rPr>
          <w:b/>
          <w:sz w:val="28"/>
          <w:szCs w:val="28"/>
        </w:rPr>
      </w:pPr>
      <w:r w:rsidRPr="00C511E4">
        <w:rPr>
          <w:b/>
          <w:sz w:val="28"/>
          <w:szCs w:val="28"/>
        </w:rPr>
        <w:t>DECIDE :</w:t>
      </w:r>
    </w:p>
    <w:p w:rsidR="00B636E3" w:rsidRPr="00C511E4" w:rsidRDefault="00B636E3" w:rsidP="007B5256">
      <w:pPr>
        <w:ind w:right="715"/>
        <w:jc w:val="center"/>
        <w:rPr>
          <w:b/>
          <w:sz w:val="28"/>
          <w:szCs w:val="28"/>
        </w:rPr>
      </w:pPr>
    </w:p>
    <w:p w:rsidR="007B5256" w:rsidRPr="00C511E4" w:rsidRDefault="007B5256" w:rsidP="007B5256">
      <w:pPr>
        <w:pStyle w:val="a4"/>
        <w:numPr>
          <w:ilvl w:val="0"/>
          <w:numId w:val="1"/>
        </w:numPr>
        <w:ind w:right="715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11E4">
        <w:rPr>
          <w:rFonts w:ascii="Times New Roman" w:hAnsi="Times New Roman"/>
          <w:sz w:val="28"/>
          <w:szCs w:val="28"/>
        </w:rPr>
        <w:t xml:space="preserve">Se  </w:t>
      </w:r>
      <w:proofErr w:type="spellStart"/>
      <w:r w:rsidRPr="00C511E4">
        <w:rPr>
          <w:rFonts w:ascii="Times New Roman" w:hAnsi="Times New Roman"/>
          <w:sz w:val="28"/>
          <w:szCs w:val="28"/>
        </w:rPr>
        <w:t>ia</w:t>
      </w:r>
      <w:proofErr w:type="spellEnd"/>
      <w:proofErr w:type="gramEnd"/>
      <w:r w:rsidRPr="00C511E4">
        <w:rPr>
          <w:rFonts w:ascii="Times New Roman" w:hAnsi="Times New Roman"/>
          <w:sz w:val="28"/>
          <w:szCs w:val="28"/>
        </w:rPr>
        <w:t xml:space="preserve"> act de </w:t>
      </w:r>
      <w:proofErr w:type="spellStart"/>
      <w:r w:rsidRPr="00C511E4">
        <w:rPr>
          <w:rFonts w:ascii="Times New Roman" w:hAnsi="Times New Roman"/>
          <w:sz w:val="28"/>
          <w:szCs w:val="28"/>
        </w:rPr>
        <w:t>raportul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semianual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pentru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anul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202</w:t>
      </w:r>
      <w:r w:rsidR="00C511E4">
        <w:rPr>
          <w:rFonts w:ascii="Times New Roman" w:hAnsi="Times New Roman"/>
          <w:sz w:val="28"/>
          <w:szCs w:val="28"/>
        </w:rPr>
        <w:t>4</w:t>
      </w:r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privind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executarea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bugetului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local </w:t>
      </w:r>
      <w:proofErr w:type="spellStart"/>
      <w:r w:rsidRPr="00C511E4">
        <w:rPr>
          <w:rFonts w:ascii="Times New Roman" w:hAnsi="Times New Roman"/>
          <w:sz w:val="28"/>
          <w:szCs w:val="28"/>
        </w:rPr>
        <w:t>Teleșeu</w:t>
      </w:r>
      <w:proofErr w:type="spellEnd"/>
      <w:r w:rsidRPr="00C511E4">
        <w:rPr>
          <w:rFonts w:ascii="Times New Roman" w:hAnsi="Times New Roman"/>
          <w:sz w:val="28"/>
          <w:szCs w:val="28"/>
        </w:rPr>
        <w:t>.</w:t>
      </w:r>
    </w:p>
    <w:p w:rsidR="007B5256" w:rsidRPr="00C511E4" w:rsidRDefault="007B5256" w:rsidP="007B5256">
      <w:pPr>
        <w:pStyle w:val="a4"/>
        <w:numPr>
          <w:ilvl w:val="0"/>
          <w:numId w:val="1"/>
        </w:numPr>
        <w:ind w:right="715"/>
        <w:jc w:val="both"/>
        <w:rPr>
          <w:rFonts w:ascii="Times New Roman" w:hAnsi="Times New Roman"/>
          <w:sz w:val="28"/>
          <w:szCs w:val="28"/>
        </w:rPr>
      </w:pPr>
      <w:r w:rsidRPr="00C511E4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C511E4">
        <w:rPr>
          <w:rFonts w:ascii="Times New Roman" w:hAnsi="Times New Roman"/>
          <w:sz w:val="28"/>
          <w:szCs w:val="28"/>
        </w:rPr>
        <w:t>a</w:t>
      </w:r>
      <w:r w:rsidR="00C511E4">
        <w:rPr>
          <w:rFonts w:ascii="Times New Roman" w:hAnsi="Times New Roman"/>
          <w:sz w:val="28"/>
          <w:szCs w:val="28"/>
        </w:rPr>
        <w:t>udiază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raportul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semianual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pentru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anul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202</w:t>
      </w:r>
      <w:r w:rsidR="00C511E4">
        <w:rPr>
          <w:rFonts w:ascii="Times New Roman" w:hAnsi="Times New Roman"/>
          <w:sz w:val="28"/>
          <w:szCs w:val="28"/>
        </w:rPr>
        <w:t>4</w:t>
      </w:r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privind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executarea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bugetului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local </w:t>
      </w:r>
      <w:proofErr w:type="spellStart"/>
      <w:r w:rsidRPr="00C511E4">
        <w:rPr>
          <w:rFonts w:ascii="Times New Roman" w:hAnsi="Times New Roman"/>
          <w:sz w:val="28"/>
          <w:szCs w:val="28"/>
        </w:rPr>
        <w:t>Teleșeu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 la </w:t>
      </w:r>
      <w:proofErr w:type="spellStart"/>
      <w:r w:rsidRPr="00C511E4">
        <w:rPr>
          <w:rFonts w:ascii="Times New Roman" w:hAnsi="Times New Roman"/>
          <w:sz w:val="28"/>
          <w:szCs w:val="28"/>
        </w:rPr>
        <w:t>venituri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în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sumă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de  </w:t>
      </w:r>
      <w:r w:rsidRPr="00C511E4">
        <w:rPr>
          <w:rFonts w:ascii="Times New Roman" w:hAnsi="Times New Roman"/>
          <w:b/>
          <w:sz w:val="28"/>
          <w:szCs w:val="28"/>
        </w:rPr>
        <w:t xml:space="preserve">2 </w:t>
      </w:r>
      <w:r w:rsidR="00C511E4">
        <w:rPr>
          <w:rFonts w:ascii="Times New Roman" w:hAnsi="Times New Roman"/>
          <w:b/>
          <w:sz w:val="28"/>
          <w:szCs w:val="28"/>
        </w:rPr>
        <w:t>827</w:t>
      </w:r>
      <w:r w:rsidRPr="00C511E4">
        <w:rPr>
          <w:rFonts w:ascii="Times New Roman" w:hAnsi="Times New Roman"/>
          <w:b/>
          <w:sz w:val="28"/>
          <w:szCs w:val="28"/>
        </w:rPr>
        <w:t>.</w:t>
      </w:r>
      <w:r w:rsidR="00C511E4">
        <w:rPr>
          <w:rFonts w:ascii="Times New Roman" w:hAnsi="Times New Roman"/>
          <w:b/>
          <w:sz w:val="28"/>
          <w:szCs w:val="28"/>
        </w:rPr>
        <w:t>4</w:t>
      </w:r>
      <w:r w:rsidRPr="00C511E4">
        <w:rPr>
          <w:rFonts w:ascii="Times New Roman" w:hAnsi="Times New Roman"/>
          <w:b/>
          <w:sz w:val="28"/>
          <w:szCs w:val="28"/>
        </w:rPr>
        <w:t xml:space="preserve"> </w:t>
      </w:r>
      <w:r w:rsidRPr="00C511E4">
        <w:rPr>
          <w:rFonts w:ascii="Times New Roman" w:hAnsi="Times New Roman"/>
          <w:sz w:val="28"/>
          <w:szCs w:val="28"/>
        </w:rPr>
        <w:t xml:space="preserve">mii lei  </w:t>
      </w:r>
      <w:proofErr w:type="spellStart"/>
      <w:r w:rsidRPr="00C511E4">
        <w:rPr>
          <w:rFonts w:ascii="Times New Roman" w:hAnsi="Times New Roman"/>
          <w:sz w:val="28"/>
          <w:szCs w:val="28"/>
        </w:rPr>
        <w:t>şi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 la </w:t>
      </w:r>
      <w:proofErr w:type="spellStart"/>
      <w:r w:rsidRPr="00C511E4">
        <w:rPr>
          <w:rFonts w:ascii="Times New Roman" w:hAnsi="Times New Roman"/>
          <w:sz w:val="28"/>
          <w:szCs w:val="28"/>
        </w:rPr>
        <w:t>cheltueli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în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sumă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de </w:t>
      </w:r>
      <w:r w:rsidRPr="00C511E4">
        <w:rPr>
          <w:rFonts w:ascii="Times New Roman" w:hAnsi="Times New Roman"/>
          <w:b/>
          <w:sz w:val="28"/>
          <w:szCs w:val="28"/>
        </w:rPr>
        <w:t xml:space="preserve">2 </w:t>
      </w:r>
      <w:r w:rsidR="00C511E4">
        <w:rPr>
          <w:rFonts w:ascii="Times New Roman" w:hAnsi="Times New Roman"/>
          <w:b/>
          <w:sz w:val="28"/>
          <w:szCs w:val="28"/>
        </w:rPr>
        <w:t>266</w:t>
      </w:r>
      <w:r w:rsidRPr="00C511E4">
        <w:rPr>
          <w:rFonts w:ascii="Times New Roman" w:hAnsi="Times New Roman"/>
          <w:b/>
          <w:sz w:val="28"/>
          <w:szCs w:val="28"/>
        </w:rPr>
        <w:t>.</w:t>
      </w:r>
      <w:r w:rsidR="00C511E4">
        <w:rPr>
          <w:rFonts w:ascii="Times New Roman" w:hAnsi="Times New Roman"/>
          <w:b/>
          <w:sz w:val="28"/>
          <w:szCs w:val="28"/>
        </w:rPr>
        <w:t>4</w:t>
      </w:r>
      <w:r w:rsidRPr="00C511E4">
        <w:rPr>
          <w:rFonts w:ascii="Times New Roman" w:hAnsi="Times New Roman"/>
          <w:sz w:val="28"/>
          <w:szCs w:val="28"/>
        </w:rPr>
        <w:t xml:space="preserve">  mii lei, conform </w:t>
      </w:r>
      <w:proofErr w:type="spellStart"/>
      <w:r w:rsidR="00B636E3">
        <w:rPr>
          <w:rFonts w:ascii="Times New Roman" w:hAnsi="Times New Roman"/>
          <w:sz w:val="28"/>
          <w:szCs w:val="28"/>
        </w:rPr>
        <w:t>A</w:t>
      </w:r>
      <w:bookmarkStart w:id="0" w:name="_GoBack"/>
      <w:bookmarkEnd w:id="0"/>
      <w:r w:rsidRPr="00C511E4">
        <w:rPr>
          <w:rFonts w:ascii="Times New Roman" w:hAnsi="Times New Roman"/>
          <w:sz w:val="28"/>
          <w:szCs w:val="28"/>
        </w:rPr>
        <w:t>nexei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nr.1</w:t>
      </w:r>
    </w:p>
    <w:p w:rsidR="007B5256" w:rsidRDefault="007B5256" w:rsidP="007B5256">
      <w:pPr>
        <w:pStyle w:val="a4"/>
        <w:numPr>
          <w:ilvl w:val="0"/>
          <w:numId w:val="1"/>
        </w:numPr>
        <w:ind w:right="71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11E4">
        <w:rPr>
          <w:rFonts w:ascii="Times New Roman" w:hAnsi="Times New Roman"/>
          <w:sz w:val="28"/>
          <w:szCs w:val="28"/>
        </w:rPr>
        <w:t>Controlul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asupra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executării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prezentei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Decizii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C511E4">
        <w:rPr>
          <w:rFonts w:ascii="Times New Roman" w:hAnsi="Times New Roman"/>
          <w:sz w:val="28"/>
          <w:szCs w:val="28"/>
        </w:rPr>
        <w:t>pune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pe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seama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primarului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satului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1E4">
        <w:rPr>
          <w:rFonts w:ascii="Times New Roman" w:hAnsi="Times New Roman"/>
          <w:sz w:val="28"/>
          <w:szCs w:val="28"/>
        </w:rPr>
        <w:t>Teleșeu</w:t>
      </w:r>
      <w:proofErr w:type="spellEnd"/>
      <w:r w:rsidRPr="00C511E4">
        <w:rPr>
          <w:rFonts w:ascii="Times New Roman" w:hAnsi="Times New Roman"/>
          <w:sz w:val="28"/>
          <w:szCs w:val="28"/>
        </w:rPr>
        <w:t xml:space="preserve"> dl Ion </w:t>
      </w:r>
      <w:proofErr w:type="spellStart"/>
      <w:r w:rsidRPr="00C511E4">
        <w:rPr>
          <w:rFonts w:ascii="Times New Roman" w:hAnsi="Times New Roman"/>
          <w:sz w:val="28"/>
          <w:szCs w:val="28"/>
        </w:rPr>
        <w:t>Dediu</w:t>
      </w:r>
      <w:proofErr w:type="spellEnd"/>
      <w:r w:rsidRPr="00C511E4">
        <w:rPr>
          <w:rFonts w:ascii="Times New Roman" w:hAnsi="Times New Roman"/>
          <w:sz w:val="28"/>
          <w:szCs w:val="28"/>
        </w:rPr>
        <w:t>.</w:t>
      </w:r>
    </w:p>
    <w:p w:rsidR="00C511E4" w:rsidRPr="00C511E4" w:rsidRDefault="00C511E4" w:rsidP="007B5256">
      <w:pPr>
        <w:pStyle w:val="a4"/>
        <w:numPr>
          <w:ilvl w:val="0"/>
          <w:numId w:val="1"/>
        </w:numPr>
        <w:ind w:right="71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Prezenta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Decizie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</w:rPr>
        <w:t>publică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Registrul</w:t>
      </w:r>
      <w:proofErr w:type="spellEnd"/>
      <w:r>
        <w:rPr>
          <w:rFonts w:ascii="Times New Roman" w:hAnsi="Times New Roman"/>
          <w:sz w:val="28"/>
          <w:szCs w:val="28"/>
        </w:rPr>
        <w:t xml:space="preserve"> de Stat al </w:t>
      </w:r>
      <w:proofErr w:type="spellStart"/>
      <w:r>
        <w:rPr>
          <w:rFonts w:ascii="Times New Roman" w:hAnsi="Times New Roman"/>
          <w:sz w:val="28"/>
          <w:szCs w:val="28"/>
        </w:rPr>
        <w:t>actelor</w:t>
      </w:r>
      <w:proofErr w:type="spellEnd"/>
      <w:r>
        <w:rPr>
          <w:rFonts w:ascii="Times New Roman" w:hAnsi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intră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vigoare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r w:rsidR="00B636E3">
        <w:rPr>
          <w:rFonts w:ascii="Times New Roman" w:hAnsi="Times New Roman"/>
          <w:sz w:val="28"/>
          <w:szCs w:val="28"/>
        </w:rPr>
        <w:t xml:space="preserve">data </w:t>
      </w:r>
      <w:proofErr w:type="spellStart"/>
      <w:r w:rsidR="00B636E3">
        <w:rPr>
          <w:rFonts w:ascii="Times New Roman" w:hAnsi="Times New Roman"/>
          <w:sz w:val="28"/>
          <w:szCs w:val="28"/>
        </w:rPr>
        <w:t>publicării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B636E3">
        <w:rPr>
          <w:rFonts w:ascii="Times New Roman" w:hAnsi="Times New Roman"/>
          <w:sz w:val="28"/>
          <w:szCs w:val="28"/>
        </w:rPr>
        <w:t>drept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B636E3">
        <w:rPr>
          <w:rFonts w:ascii="Times New Roman" w:hAnsi="Times New Roman"/>
          <w:sz w:val="28"/>
          <w:szCs w:val="28"/>
        </w:rPr>
        <w:t>contestare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E3">
        <w:rPr>
          <w:rFonts w:ascii="Times New Roman" w:hAnsi="Times New Roman"/>
          <w:sz w:val="28"/>
          <w:szCs w:val="28"/>
        </w:rPr>
        <w:t>în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E3">
        <w:rPr>
          <w:rFonts w:ascii="Times New Roman" w:hAnsi="Times New Roman"/>
          <w:sz w:val="28"/>
          <w:szCs w:val="28"/>
        </w:rPr>
        <w:t>termen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de 30 </w:t>
      </w:r>
      <w:proofErr w:type="spellStart"/>
      <w:r w:rsidR="00B636E3">
        <w:rPr>
          <w:rFonts w:ascii="Times New Roman" w:hAnsi="Times New Roman"/>
          <w:sz w:val="28"/>
          <w:szCs w:val="28"/>
        </w:rPr>
        <w:t>zile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636E3">
        <w:rPr>
          <w:rFonts w:ascii="Times New Roman" w:hAnsi="Times New Roman"/>
          <w:sz w:val="28"/>
          <w:szCs w:val="28"/>
        </w:rPr>
        <w:t>în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E3">
        <w:rPr>
          <w:rFonts w:ascii="Times New Roman" w:hAnsi="Times New Roman"/>
          <w:sz w:val="28"/>
          <w:szCs w:val="28"/>
        </w:rPr>
        <w:t>judecătoria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E3">
        <w:rPr>
          <w:rFonts w:ascii="Times New Roman" w:hAnsi="Times New Roman"/>
          <w:sz w:val="28"/>
          <w:szCs w:val="28"/>
        </w:rPr>
        <w:t>Orhei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636E3">
        <w:rPr>
          <w:rFonts w:ascii="Times New Roman" w:hAnsi="Times New Roman"/>
          <w:sz w:val="28"/>
          <w:szCs w:val="28"/>
        </w:rPr>
        <w:t>sediul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central, </w:t>
      </w:r>
      <w:proofErr w:type="spellStart"/>
      <w:r w:rsidR="00B636E3">
        <w:rPr>
          <w:rFonts w:ascii="Times New Roman" w:hAnsi="Times New Roman"/>
          <w:sz w:val="28"/>
          <w:szCs w:val="28"/>
        </w:rPr>
        <w:t>în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E3">
        <w:rPr>
          <w:rFonts w:ascii="Times New Roman" w:hAnsi="Times New Roman"/>
          <w:sz w:val="28"/>
          <w:szCs w:val="28"/>
        </w:rPr>
        <w:t>condițiile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E3">
        <w:rPr>
          <w:rFonts w:ascii="Times New Roman" w:hAnsi="Times New Roman"/>
          <w:sz w:val="28"/>
          <w:szCs w:val="28"/>
        </w:rPr>
        <w:t>normelor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E3">
        <w:rPr>
          <w:rFonts w:ascii="Times New Roman" w:hAnsi="Times New Roman"/>
          <w:sz w:val="28"/>
          <w:szCs w:val="28"/>
        </w:rPr>
        <w:t>Codului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E3">
        <w:rPr>
          <w:rFonts w:ascii="Times New Roman" w:hAnsi="Times New Roman"/>
          <w:sz w:val="28"/>
          <w:szCs w:val="28"/>
        </w:rPr>
        <w:t>Administrativ</w:t>
      </w:r>
      <w:proofErr w:type="spellEnd"/>
      <w:r w:rsidR="00B636E3">
        <w:rPr>
          <w:rFonts w:ascii="Times New Roman" w:hAnsi="Times New Roman"/>
          <w:sz w:val="28"/>
          <w:szCs w:val="28"/>
        </w:rPr>
        <w:t xml:space="preserve"> nr.116/2018.</w:t>
      </w:r>
    </w:p>
    <w:p w:rsidR="007B5256" w:rsidRDefault="007B5256" w:rsidP="007B5256">
      <w:pPr>
        <w:jc w:val="both"/>
        <w:rPr>
          <w:sz w:val="28"/>
          <w:szCs w:val="28"/>
        </w:rPr>
      </w:pPr>
      <w:r w:rsidRPr="00C511E4">
        <w:rPr>
          <w:sz w:val="28"/>
          <w:szCs w:val="28"/>
        </w:rPr>
        <w:t xml:space="preserve">Președintele ședinței </w:t>
      </w:r>
    </w:p>
    <w:p w:rsidR="00B636E3" w:rsidRDefault="00B636E3" w:rsidP="007B5256">
      <w:pPr>
        <w:jc w:val="both"/>
        <w:rPr>
          <w:sz w:val="28"/>
          <w:szCs w:val="28"/>
        </w:rPr>
      </w:pPr>
    </w:p>
    <w:p w:rsidR="00B636E3" w:rsidRPr="00C511E4" w:rsidRDefault="00B636E3" w:rsidP="007B5256">
      <w:pPr>
        <w:jc w:val="both"/>
        <w:rPr>
          <w:sz w:val="28"/>
          <w:szCs w:val="28"/>
        </w:rPr>
      </w:pPr>
      <w:r>
        <w:rPr>
          <w:sz w:val="28"/>
          <w:szCs w:val="28"/>
        </w:rPr>
        <w:t>Secretara Consiliului local</w:t>
      </w:r>
    </w:p>
    <w:p w:rsidR="00B636E3" w:rsidRDefault="00B636E3" w:rsidP="007B5256">
      <w:pPr>
        <w:jc w:val="both"/>
        <w:rPr>
          <w:sz w:val="28"/>
          <w:szCs w:val="28"/>
        </w:rPr>
      </w:pPr>
    </w:p>
    <w:p w:rsidR="007B5256" w:rsidRPr="00C511E4" w:rsidRDefault="00B636E3" w:rsidP="00B6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Autor: </w:t>
      </w:r>
      <w:r w:rsidR="007B5256" w:rsidRPr="00C511E4">
        <w:rPr>
          <w:sz w:val="28"/>
          <w:szCs w:val="28"/>
        </w:rPr>
        <w:t>Maria Frunze, contabil</w:t>
      </w:r>
      <w:r>
        <w:rPr>
          <w:sz w:val="28"/>
          <w:szCs w:val="28"/>
        </w:rPr>
        <w:t>ă</w:t>
      </w:r>
      <w:r w:rsidR="007B5256" w:rsidRPr="00C511E4">
        <w:rPr>
          <w:sz w:val="28"/>
          <w:szCs w:val="28"/>
        </w:rPr>
        <w:t>-șef</w:t>
      </w:r>
      <w:r>
        <w:rPr>
          <w:sz w:val="28"/>
          <w:szCs w:val="28"/>
        </w:rPr>
        <w:t>î</w:t>
      </w:r>
      <w:r w:rsidR="007B5256" w:rsidRPr="00C511E4">
        <w:rPr>
          <w:sz w:val="28"/>
          <w:szCs w:val="28"/>
        </w:rPr>
        <w:t>.</w:t>
      </w:r>
    </w:p>
    <w:sectPr w:rsidR="007B5256" w:rsidRPr="00C5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B3978"/>
    <w:multiLevelType w:val="hybridMultilevel"/>
    <w:tmpl w:val="A8AC7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D9"/>
    <w:rsid w:val="000F7FDA"/>
    <w:rsid w:val="001525BA"/>
    <w:rsid w:val="00351BD9"/>
    <w:rsid w:val="007B5256"/>
    <w:rsid w:val="00B636E3"/>
    <w:rsid w:val="00C511E4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525BA"/>
    <w:pPr>
      <w:keepNext/>
      <w:spacing w:line="288" w:lineRule="auto"/>
      <w:jc w:val="both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525BA"/>
    <w:rPr>
      <w:rFonts w:ascii="Times New Roman" w:eastAsia="Times New Roman" w:hAnsi="Times New Roman" w:cs="Times New Roman"/>
      <w:b/>
      <w:szCs w:val="20"/>
      <w:lang w:val="ro-RO" w:eastAsia="ru-RU"/>
    </w:rPr>
  </w:style>
  <w:style w:type="character" w:styleId="a3">
    <w:name w:val="Hyperlink"/>
    <w:basedOn w:val="a0"/>
    <w:uiPriority w:val="99"/>
    <w:unhideWhenUsed/>
    <w:rsid w:val="007B52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5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B52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256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525BA"/>
    <w:pPr>
      <w:keepNext/>
      <w:spacing w:line="288" w:lineRule="auto"/>
      <w:jc w:val="both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525BA"/>
    <w:rPr>
      <w:rFonts w:ascii="Times New Roman" w:eastAsia="Times New Roman" w:hAnsi="Times New Roman" w:cs="Times New Roman"/>
      <w:b/>
      <w:szCs w:val="20"/>
      <w:lang w:val="ro-RO" w:eastAsia="ru-RU"/>
    </w:rPr>
  </w:style>
  <w:style w:type="character" w:styleId="a3">
    <w:name w:val="Hyperlink"/>
    <w:basedOn w:val="a0"/>
    <w:uiPriority w:val="99"/>
    <w:unhideWhenUsed/>
    <w:rsid w:val="007B52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5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B52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256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2024-08-12T13:02:00Z</cp:lastPrinted>
  <dcterms:created xsi:type="dcterms:W3CDTF">2024-08-12T12:32:00Z</dcterms:created>
  <dcterms:modified xsi:type="dcterms:W3CDTF">2024-08-12T13:02:00Z</dcterms:modified>
</cp:coreProperties>
</file>